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6"/>
      </w:tblGrid>
      <w:tr w:rsidR="00395A0F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395A0F" w:rsidRDefault="006805C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395A0F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</w:tr>
      <w:tr w:rsidR="00395A0F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395A0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395A0F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01.01.2023</w:t>
            </w:r>
          </w:p>
        </w:tc>
      </w:tr>
      <w:tr w:rsidR="00395A0F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</w:tr>
      <w:tr w:rsidR="00395A0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0"/>
              </w:rPr>
            </w:pPr>
          </w:p>
        </w:tc>
      </w:tr>
      <w:tr w:rsidR="00395A0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00099665</w:t>
            </w:r>
          </w:p>
        </w:tc>
      </w:tr>
      <w:tr w:rsidR="00395A0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0"/>
              </w:rPr>
            </w:pPr>
          </w:p>
        </w:tc>
      </w:tr>
      <w:tr w:rsidR="00395A0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0"/>
              </w:rPr>
            </w:pPr>
          </w:p>
        </w:tc>
      </w:tr>
      <w:tr w:rsidR="00395A0F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Министерство образования и науки Мурманской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804</w:t>
            </w:r>
          </w:p>
        </w:tc>
      </w:tr>
      <w:tr w:rsidR="00395A0F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</w:tr>
      <w:tr w:rsidR="00395A0F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субъекта РФ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395A0F" w:rsidRDefault="006805C1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47701000</w:t>
            </w:r>
          </w:p>
        </w:tc>
      </w:tr>
      <w:tr w:rsidR="00395A0F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</w:tr>
      <w:tr w:rsidR="00395A0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395A0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</w:tr>
      <w:tr w:rsidR="00395A0F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</w:tr>
    </w:tbl>
    <w:p w:rsidR="00395A0F" w:rsidRDefault="006805C1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Бюджетная отчетность Министерства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и науки Мурманской области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Министерство) за 2022 год составлена в соответствии с требованиями Инструкции о порядке составления и представления годовой, квартальной и месячной отчётности об исполнении бюджетов бюджетной системы Российск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Федерации, утвержденной приказом Министерства финансов Российской Федерации от 28.12.2010 № 191н, с учетом требований письма  Министерства  финансов  Мурманской  области  от 17.01.2023№ 02-09/90-МС «О дополнительных критериях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раскрытию информации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составлении и представлении годовой консолидированной  отчетности, годовой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консолидированной бухгалтерской отчетности государственных бюджетных и автономных учреждений главными администраторами средств областного бюджета за 2022 год», в сроки, установленн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приказом Министерства финансов Мурманской области от 26.12.2022 № 136н «О сроках представления главными распорядителями средств областного бюджета, главными администраторами доходов областного бюджета, главными администраторами источников финансирования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дефицита областного  бюджета консолидированной  месячной, квартальной и годовой бюджетной отчетности, консолидированной квартальной и годовой бухгалтерской отчетности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областных бюджетных и автономных учреждений в 2023 году».</w:t>
      </w:r>
    </w:p>
    <w:p w:rsidR="00395A0F" w:rsidRDefault="006805C1">
      <w:pPr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приказом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 от 30.12.2021 № 1914 «Об осуществлении государственными областными бюджетными учреждениями, находящимися в ведении Министерства образования и науки Мурманской области, полномочий Министерства образования и науки Мурманской области по исполнени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публичных обязательств перед физическим лицом» ГОБОУ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«Минькинская коррекционная школа-интернат» переданы полномочия по исполнению публичных обязательств перед физическим лицом: выплата компенсации родительской платы за присмотр и уход за детьми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образовательные программы дошкольного образования».</w:t>
      </w:r>
    </w:p>
    <w:p w:rsidR="006805C1" w:rsidRDefault="006805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395A0F" w:rsidRDefault="006805C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Организационная структура субъекта бюджетной отчетности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805C1" w:rsidRDefault="006805C1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и науки Мурманской области является исполнительным органом Мурманской области, осуществляющим управление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сфере образования на территории Мурманской области, функции по реализации государственной политики, формированию региональной политики в сфере образования и науки, нормативно-правовому регулированию в сферах образования и науки, воспитания, опеки и попечи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тельства над несовершеннолетними, функции по контролю и надзору в сфере образования, социальной поддержке и социальной защите 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воспитанников образовательных организаций Мурманской области.</w:t>
      </w:r>
    </w:p>
    <w:p w:rsidR="00395A0F" w:rsidRDefault="006805C1">
      <w:pPr>
        <w:ind w:firstLine="5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целями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Министерства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являются: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и развитие современной модели образования, направленной на повышение доступности качественного образования, соответствующего требованиям инновационного развития экономики, потребностям населения Мурманской области;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реализация комплекса мер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модернизации общего образования.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Для достижения указанных целей выполняются следующие задачи: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Реализация на территории Мурманской области государственной политики в сфере образования и науки.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Обеспечение права граждан на образование путем создани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соответствующих социально-экономических условий для его получения, расширения возможностей удовлетворять потребности человека в получении образования различных уровня и направленности в течение всей жизни.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Комплексное прогнозирование и оценка состояни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системы образования Мурманской области и обеспечение органов государственной власти, органов местного самоуправления, организаций и населения Мурманской области соответствующей информацией в пределах своей компетенции.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Организация деятельности в сфере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опеки и попечительства в отношении несовершеннолетних в Мурманской области.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Реализация переданных полномочий Российской Федерации в области образования.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Реализация единой политики в области внедрения новых информационных технологий в системе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образования.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Правовое, информационное и организационное обеспечение государственной политики в сфере образования и науки в пределах своей компетенции.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 По состоянию на отчетную дату Министерство осуществляет координацию и контроль деятельности 37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ведомственных ему учреждений и образовательных организаций Мурманской области, в том числе казенных учреждений – 1, бюджетных учреждений – 15, автономных учреждений – 19, автономных некоммерческих организаций – 2. </w:t>
      </w:r>
    </w:p>
    <w:p w:rsidR="00395A0F" w:rsidRDefault="006805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постановлением Правитель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ства Мурманской области от 06.12.2021  № 908-ПП с 01 января 2022 года в государственную собственность Мурманской области принято муниципальное общеобразовательное учреждения «Средняя общеобразовательная школа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№ 289 с углубленным изучением отдельных предме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тов».</w:t>
      </w:r>
    </w:p>
    <w:p w:rsidR="00395A0F" w:rsidRDefault="006805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количестве подведомственных участников бюджетного процесса, учреждений и государственных (муниципальных) унитарных предприятий отражены в форме 0503161.</w:t>
      </w:r>
    </w:p>
    <w:p w:rsidR="00395A0F" w:rsidRDefault="006805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постановлением Правительства Мурманской области от 12.05.2022 № 362-П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 создана автономная некоммерческая организация «Проектный офис «Губернаторский лицей», учредителем которой  выступает Министерство.</w:t>
      </w:r>
    </w:p>
    <w:p w:rsidR="006805C1" w:rsidRDefault="006805C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95A0F" w:rsidRDefault="006805C1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Информация о подведомственных учреждениях Министерства и учреждениях, в отношении которых Министерство выполняет функции уч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редителя</w:t>
      </w:r>
    </w:p>
    <w:p w:rsidR="00395A0F" w:rsidRPr="006805C1" w:rsidRDefault="00395A0F">
      <w:pPr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0110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846"/>
        <w:gridCol w:w="2181"/>
        <w:gridCol w:w="1326"/>
        <w:gridCol w:w="1678"/>
        <w:gridCol w:w="1539"/>
      </w:tblGrid>
      <w:tr w:rsidR="00395A0F">
        <w:tc>
          <w:tcPr>
            <w:tcW w:w="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5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 учреждения</w:t>
            </w:r>
          </w:p>
        </w:tc>
        <w:tc>
          <w:tcPr>
            <w:tcW w:w="21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НПА о создании</w:t>
            </w:r>
          </w:p>
        </w:tc>
        <w:tc>
          <w:tcPr>
            <w:tcW w:w="29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3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об изменении состава полномочий</w:t>
            </w:r>
          </w:p>
        </w:tc>
      </w:tr>
      <w:tr w:rsidR="00395A0F">
        <w:tc>
          <w:tcPr>
            <w:tcW w:w="5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395A0F"/>
        </w:tc>
        <w:tc>
          <w:tcPr>
            <w:tcW w:w="285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395A0F"/>
        </w:tc>
        <w:tc>
          <w:tcPr>
            <w:tcW w:w="21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 (да/нет)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(перечислить)</w:t>
            </w:r>
          </w:p>
        </w:tc>
        <w:tc>
          <w:tcPr>
            <w:tcW w:w="153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395A0F">
            <w:pPr>
              <w:rPr>
                <w:color w:val="000000"/>
              </w:rPr>
            </w:pPr>
          </w:p>
        </w:tc>
      </w:tr>
      <w:tr w:rsidR="00395A0F">
        <w:tc>
          <w:tcPr>
            <w:tcW w:w="1011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Казенные учреждения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казенное образовательное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учреждение Мурманской области «Вечерняя (сменная) общеобразовательная школа №18»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Распоряжение Правительства Мурманской области от 11.04.2011 № 131-РП (с изм.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Распоряжение Правительства Мурманской области от 20.05.2011 №176)</w:t>
            </w:r>
            <w:proofErr w:type="gramEnd"/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395A0F">
        <w:tc>
          <w:tcPr>
            <w:tcW w:w="1011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Бюджетные учреждения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областное бюджетное учреждение для детей-сирот и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оставшихся без попечения родителей, «Кандалакшский центр помощи детям, оставшимся без попечения родителей, «Берег»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Приказ Министерства образования и науки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Мурманской 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Добровольные пожертвования и взносы физ.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областное бюджетное учреждение для детей-сирот и детей, оставшихся без попечения родителей, «Мурмашинский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помощи детям, оставшимся без попечения родителей,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Журавушка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27.10.2011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397-РП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Добровольные пожертвования и взносы физ.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областное бюджетное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учреждение для детей-сирот и детей, оставшихся без попечения родителей, «Мурманский центр помощи детям, оставшимся без попечения родителей, «Ровесник»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01.08.2013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438-ПП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и вз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носы физ.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Мурманская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коррекционная школа-интернат № 3»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областное бюджетное общеобразовательное учреждение «Оленегорская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платных услуг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областное бюджетное общеобразовательное учреждение «Минькинская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коррекционная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Распоряжение Правительства Мурманской области от 27.10.2011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№ 397-РП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Добровольные пожертвования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оздоровительное образовательное учреждение санаторного типа для детей, нуждающихся в длительном лечении,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Зеленоборская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санаторная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образовательное учреждение дополнительного образования детей «Мурманский областной загородный стационарный оздоровительно-образовательный (профильный) центр «Гандвиг»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Министерства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образования и науки Мурманской 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учреждение Мурманской области «Центр психолого-педагогической, медицинской и социальной помощи»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Министерства образования и науки Мурманской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 в форме субсидии из федерального бюджета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Мурманской области кадетский корпус «Североморский кадетский корпус»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ауки Мурманской области от 13.11.2014 № 2136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с родителей (законных представителей) за присмотр и уход за детьми, осваивающими образовательные программы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областное бюджетное общеобразовательное учреждение «Мончегорская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школа»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от 31.07.2014 № 1552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Кандалакшская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коррекционная школа-интернат»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 Правительства Мурм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анской области от 21.01.2014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20-ПП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«Мурманская коррекционная школа №1»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17.01.2014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18-ПП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Кильдинская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образования и науки Мурманской области от 23.07.2019 № 1166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Мурманской области «Средняя общеобразовательная школа № 289»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06.12.2021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908-ПП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Доходы, полученные от платных образовательных услуг, добровольные пожертвования и целевые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взносоы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физических и (или) юридических лиц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 БУ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395A0F">
        <w:tc>
          <w:tcPr>
            <w:tcW w:w="1011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Автономные учреждения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 «Мурманский колледж экономики и информационных технологий»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30.11.2012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413-РП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профессиональное образовательное учреждение Мурманской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«Мончегорский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политехнический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Распоряжение Правительства Мурманской области от 30.11.2012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№ 413-РП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Приносящая доход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 физической культуры и спорта»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30.11.2012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413-РП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Кольский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транспортный колледж»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05.05.2012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122-РП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Апатитский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политехнический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05.05.2012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120-РП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Полярнозоринский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энергетический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05.05.2012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122-РП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«Кандалакшский индустриальный колледж»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Распоряжение Правительства Мурманской области от 05.05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121-РП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профессиональное образовательное учреждение Мурманской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«Мурманский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Распоряжение Правительства Мурманской области от 24.02.2011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№ 73-РП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«Мурманский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колледж сервиса»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24.02.2011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73-РП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«Мурманский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 им. Н.Е.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17.10.2011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376-РП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профессиональное образовательное учреждение Мурманской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«Ковдорский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политехнический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17.10.2011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376-РП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«Мурманский индустриальный колледж»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17.10.2011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377-РП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профессиональное образовательное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Оленегорский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горно-промышленный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19.12.2011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473-РП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профессиональное образовательное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учреждение Мурманской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Печенгский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политехнический техникум»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Распоряжение Правительства Мурманской области от 19.12.2011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№ 473-РП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нетиповое образовательное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учреждение Мурманской области «Центр образования «Лапландия»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23.12.2011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489-РП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учреждение Мурманской области «Цен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 комплексного обслуживания учреждений образования»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Распоряжение Правительства Мурманской области от 15.12.2011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460-РП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Мурманской области «Мурманский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01.10.2013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577-ПП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Мурманской области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Кольский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медицинский колледж»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01.10.2013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577-ПП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учреждение дополнительного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профессионального образования Мурманской области «Институт развития образования»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 АУ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75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Автономные некоммерческие организации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 «Проектный офис Заполярного Арктического Научно-образовательного центра Мурманской области»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13.09.2019 № 419-ПП «О создании автономной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«Проектный офис Заполярного Арктического Научно-образовательного центра Мурманской области»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Автономная некоммерческая организация «Проектный офис «Губернаторский лицей»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12.05.2022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362-ПП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АНО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395A0F"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учреждений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</w:tbl>
    <w:p w:rsidR="006805C1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содержание казенных учреждений сводной бюджетной росписью на 2022 год утверждено 13 711,17 тыс. рублей, исполнено 13 340,23 тыс. рублей или 97,3 %.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содержание Министерства (реализация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 функций) сводной бюджетной росписью на 2022 год утверждено 105 887,93 тыс. рублей, исполнено 103 210,16 тыс. рублей или 97,5 %.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2022 году капитальный ремонт зданий в Министерстве и в казенных учреждениях не проводился.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Министерство,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 Законом об областном бюджете, является главным администратором доходов областного бюджета. Учреждения, подведомственные Министерству, не являются администраторами доходов областного бюджета.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6805C1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395A0F" w:rsidRDefault="006805C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«Результаты деятельности субъекта бюдже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тной отчетности»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805C1" w:rsidRDefault="006805C1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показателей результативности деятельности субъекта бюджетной отчетности, Министерством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используются следующие ресурсы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: 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утвержденная штатная численность на отчетную дату составляет 53 единицы, фактическая численность 47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диниц;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балансовая стоимость имущества Министерства составляет 16 100,20 тыс. рублей.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2022 году дополнительное профессиональное образование по программам повышения квалификации прошли 5 государственных гражданских служащих Министерства. 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Министерству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 о бюджете на 2022 год утвержден объем бюджетных ассигнований в сумме 26 098 710,55 тыс. рублей. Сводной бюджетной росписью областного бюджета на 2022 год предусмотрено 26 282 907,4 тыс. рублей.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кассовых расходов за отчетный период составил 25 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56 984,98 тыс. рублей или 98 % от уточненных бюджетных назначений. 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 неисполнения отражены в форме 0503164 «Сведения об исполнении бюджета».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2022 года объем расходов на исполнение публичных обязательств составил 49,3 тыс. рублей, исполнено расхо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дов 30,2 тыс. рублей, что составило 61,2 %. Отклонение в связи с уменьшением численности получателей компенсации по сравнению с запланированной численностью. В отчетном периоде компенсацию получило 9 семей за 13 детей.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Структурные подразделения в полном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ъёме обеспечены вычислительной техникой, периферийным оборудованием и лицензионным программным обеспечением.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Достигнут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достаточный уровень обеспеченности средствами информатизации.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 с тем, наблюдается значительный износ и старение эксплуатируемой 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пьютерной техники. Имеющееся компьютерное оборудование не в полной мере поддерживает работоспособность современных ведомственных программных средств. Информация о необходимой замене компьютерного оборудования направляется в ГОБУ «ЦИТ» в соответствии с треб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ованиями распоряжения Правительства Мурманской области.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постоянной основе Министерством ведется работа по обеспечению функционирования базовых информационных ресурсов Мурманской области, предназначенных для оказания государственных услуг в электронном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иде, развитие единой защищенной сети образовательных организаций Мурманской области.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6805C1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395A0F" w:rsidRDefault="006805C1" w:rsidP="006805C1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 «Анализ отчета об исполнении бюджета субъектом бюджетной отчетности</w:t>
      </w:r>
    </w:p>
    <w:p w:rsidR="006805C1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раздела представлены следующие формы отчетности: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исполнении текстовых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статей закона (решения) о бюджете </w:t>
      </w:r>
      <w:hyperlink r:id="rId5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(Таблица № 3)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исполнении бюджета </w:t>
      </w:r>
      <w:hyperlink r:id="rId6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(ф. 0503164)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исполнении мероприятий в рамках целевых программ </w:t>
      </w:r>
      <w:hyperlink r:id="rId7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(ф. 0503166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 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 по показателям отчетности отсутствуют, в электронном виде представлены с отметкой «Показатели отсутствуют».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целевых иностранных кредитах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8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(ф. 0503167)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значения по показателям отчетности отсутствуют, в электронном виде представлены с отметкой «Показатели отс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утствуют».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Детальное описание причины 99 «Иные причины» отклонений от плановых показателей в части расходов за 2022 год в форме отчета ф. 0503164 «Сведения об исполнении бюджета»: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КБК 80407052240220080244 – 20,0 тыс. руб. – повышение квалификации служащ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Министерства не производились в связи с ограничительными мерами по предупреждению распространения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инфекции. 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постановлением Правительства Мурманской области от 28.12.2021 № 1000-ПП Министерство внесено в перечень главных 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министраторов доходов областного бюджета. Объем доходов областного бюджета, полученных Министерством как администратором средств областного бюджета в 2022 году, отражен в форме 0503127.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Бюджетные обязательства Министерства определяются следующими нормативн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правовыми актами: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Федеральный закон от 29.12.2012 № 273-ФЗ «Об образовании в Российской Федерации»;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Закон Мурманской области от 28.06.2013 № 1649-01-ЗМО «Об образовании в Мурманской области»;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Закон Мурманской области от 16.12.2021 № 2712-01-ЗМО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областном бюджете на 2022 год и на плановый период 2023 и 2024 годов»;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постановление Правительства Мурманской области от 21.03.2014 № 133-ПП «Об утверждении Положения о Министерстве образования и науки Мурманской области»;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постановление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Правительства Мурманской области от 30.12.2020 № 978-ПП «О мерах по обеспечению исполнения областного бюджета»;</w:t>
      </w: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постановление Правительства Мурманской области от 30.12.2020 № 979-ПП «Об особенностях реализации Закона Мурманской области «Об областном бюдж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 на 2021 год и на плановый период 2022 и 2023 годов».</w:t>
      </w:r>
    </w:p>
    <w:p w:rsidR="006805C1" w:rsidRDefault="006805C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95A0F" w:rsidRDefault="006805C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«Анализ показателей бухгалтерской отчетности субъекта бюджетной отчетности»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805C1" w:rsidRDefault="006805C1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395A0F" w:rsidRDefault="006805C1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раздела представлены следующие формы отчетности: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движении нефинансовых активов </w:t>
      </w:r>
      <w:hyperlink r:id="rId9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(ф. 0503168)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по дебиторской и кредиторской задолженности </w:t>
      </w:r>
      <w:hyperlink r:id="rId10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(ф. 0503169)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6805C1" w:rsidRDefault="006805C1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805C1" w:rsidRDefault="006805C1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Анализ дебиторской и кредиторской задолженности, отраженной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395A0F" w:rsidRDefault="006805C1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 0503169</w:t>
      </w:r>
    </w:p>
    <w:p w:rsidR="006805C1" w:rsidRDefault="006805C1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5000" w:type="pct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2"/>
        <w:gridCol w:w="1769"/>
        <w:gridCol w:w="1971"/>
        <w:gridCol w:w="2219"/>
        <w:gridCol w:w="2635"/>
      </w:tblGrid>
      <w:tr w:rsidR="00395A0F">
        <w:tc>
          <w:tcPr>
            <w:tcW w:w="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счета</w:t>
            </w:r>
          </w:p>
        </w:tc>
        <w:tc>
          <w:tcPr>
            <w:tcW w:w="88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задолженности</w:t>
            </w:r>
          </w:p>
        </w:tc>
        <w:tc>
          <w:tcPr>
            <w:tcW w:w="99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1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нтрагент</w:t>
            </w:r>
          </w:p>
        </w:tc>
        <w:tc>
          <w:tcPr>
            <w:tcW w:w="133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Причина возникновения</w:t>
            </w:r>
          </w:p>
        </w:tc>
      </w:tr>
      <w:tr w:rsidR="00395A0F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20545000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Дебиторская,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25 000,00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Мурманска СОШ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43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Штраф уплачен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неверный КБК, подлежит уточнению</w:t>
            </w:r>
          </w:p>
        </w:tc>
      </w:tr>
      <w:tr w:rsidR="00395A0F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20551000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4 532 525 624,57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Муниципальные образования Мурманской области, федеральные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Остатки средств межбюджетных трансфертов по состоянию на 01.01.2023, подлежащие возврату в доход бюджета. Доходы будущих периодов, подлежащие предоставлению в плановом периоде</w:t>
            </w:r>
          </w:p>
        </w:tc>
      </w:tr>
      <w:tr w:rsidR="00395A0F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20621000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5 306,58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УФПС Мурман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области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Авансовый платеж на предоставление почтовых услуг в январе 2023 в соответствии с условиями договоров</w:t>
            </w:r>
          </w:p>
        </w:tc>
      </w:tr>
      <w:tr w:rsidR="00395A0F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20641000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13 438 468,97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Бюджетные, автономные учреждения, подведомственные Министерству, получатели грантов и субсидий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Неиспользованные остатки предоставленных субсидий, подлежащие возврату в доход бюджета. Остатки субсидий и грантов, требующие согласования потребности в расходовании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же цели в 2023 году</w:t>
            </w:r>
          </w:p>
        </w:tc>
      </w:tr>
      <w:tr w:rsidR="00395A0F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20646000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61 668 999,65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Автономные некоммер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организации, подведомственные Министерству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Неиспользованные остатки предоставленных субсидий, подлежащие возврату в доход бюджета</w:t>
            </w:r>
          </w:p>
        </w:tc>
      </w:tr>
      <w:tr w:rsidR="00395A0F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20934000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8 431 028,78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ГАПОУ МО «ОГПК»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Задолженность подведомственного учреждения по неисполнению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задания в 2017 году. С учреждением заключено Соглашение по возврату средств с приложением графика погашения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задолженности</w:t>
            </w:r>
          </w:p>
        </w:tc>
      </w:tr>
      <w:tr w:rsidR="00395A0F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20945000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просроченная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Апатитская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ТШ ДОСААФ России ПОУ,</w:t>
            </w:r>
          </w:p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СеверАвтошкола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Просроченная задолженно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по уплате административных штрафов</w:t>
            </w:r>
          </w:p>
        </w:tc>
      </w:tr>
      <w:tr w:rsidR="00395A0F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20545000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г. Мурманска СОШ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43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Штраф уплачен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неверный КБК, подлежит уточнению</w:t>
            </w:r>
          </w:p>
        </w:tc>
      </w:tr>
      <w:tr w:rsidR="00395A0F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30221000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18 043,67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ПАО ВымпелКом, ПАО Ростелеком, ПАО Мегафон, Отдел Государственной фельдъегерской службы РФ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г. Мурманске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 задолженность за услуги связи, предоставленные в декабре 2022</w:t>
            </w:r>
          </w:p>
        </w:tc>
      </w:tr>
      <w:tr w:rsidR="00395A0F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30305000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562 348,01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просвещения РФ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олженность по возврату в федеральный бюджет остатков МБТ, предоставленных в 2022 году</w:t>
            </w:r>
          </w:p>
        </w:tc>
      </w:tr>
    </w:tbl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учете на 01 января 2023 числится просроченная дебиторская задолженность. Министерством ведется работа по погашению просроченной дебиторской задолженности, должникам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направляются требования об уплате штрафов.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Просроченной кредиторской, а также нереальной к взысканию задолженности в учете Министерства на 01 января 2023 года не числится.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</w:t>
      </w:r>
      <w:hyperlink r:id="rId11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</w:t>
        </w:r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. 0503171)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Сведения о государственном (муниципальном) долге, предоставленных бюджетных кредитах </w:t>
      </w:r>
      <w:hyperlink r:id="rId12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(ф. 0503172)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значени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по показателям отчетности отсутствуют, в электронном виде представлены с отметкой «Показатели отсутствуют». 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изменении остатков валюты баланса </w:t>
      </w:r>
      <w:hyperlink r:id="rId13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(ф. 0503173)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95A0F" w:rsidRDefault="006805C1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 в составе отчетности представлена форма Таблица 4, отражающая дополнительную информацию по коду причины 03 формы 0503173. </w:t>
      </w:r>
    </w:p>
    <w:p w:rsidR="00395A0F" w:rsidRDefault="006805C1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об исправленных ошибках прошлых лет </w:t>
      </w:r>
    </w:p>
    <w:tbl>
      <w:tblPr>
        <w:tblW w:w="5092" w:type="pct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3"/>
        <w:gridCol w:w="1388"/>
        <w:gridCol w:w="2240"/>
        <w:gridCol w:w="2227"/>
      </w:tblGrid>
      <w:tr w:rsidR="00395A0F">
        <w:trPr>
          <w:trHeight w:val="559"/>
        </w:trPr>
        <w:tc>
          <w:tcPr>
            <w:tcW w:w="20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ета </w:t>
            </w:r>
          </w:p>
        </w:tc>
        <w:tc>
          <w:tcPr>
            <w:tcW w:w="6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11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10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 корректировки*</w:t>
            </w:r>
          </w:p>
        </w:tc>
      </w:tr>
      <w:tr w:rsidR="00395A0F">
        <w:trPr>
          <w:trHeight w:val="707"/>
        </w:trPr>
        <w:tc>
          <w:tcPr>
            <w:tcW w:w="209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стоимости основных средств**, всего*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2 444,44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03.4</w:t>
            </w:r>
          </w:p>
        </w:tc>
      </w:tr>
      <w:tr w:rsidR="00395A0F">
        <w:trPr>
          <w:trHeight w:val="298"/>
        </w:trPr>
        <w:tc>
          <w:tcPr>
            <w:tcW w:w="209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амортизация основных средств*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2 444,44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03.4</w:t>
            </w:r>
          </w:p>
        </w:tc>
      </w:tr>
      <w:tr w:rsidR="00395A0F">
        <w:trPr>
          <w:trHeight w:val="569"/>
        </w:trPr>
        <w:tc>
          <w:tcPr>
            <w:tcW w:w="209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средства (остаточная стоимость, стр. 010 - стр. 020)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-2 444,44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03.4</w:t>
            </w:r>
          </w:p>
        </w:tc>
      </w:tr>
      <w:tr w:rsidR="00395A0F">
        <w:trPr>
          <w:trHeight w:val="298"/>
        </w:trPr>
        <w:tc>
          <w:tcPr>
            <w:tcW w:w="209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пользования активами (011100000)** (остаточная стоимость), всего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03.4</w:t>
            </w:r>
          </w:p>
        </w:tc>
      </w:tr>
      <w:tr w:rsidR="00395A0F">
        <w:trPr>
          <w:trHeight w:val="298"/>
        </w:trPr>
        <w:tc>
          <w:tcPr>
            <w:tcW w:w="209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Финансовый результат (040000000) (стр. 570 + стр. 580)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67 755,56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03.4</w:t>
            </w:r>
          </w:p>
        </w:tc>
      </w:tr>
      <w:tr w:rsidR="00395A0F">
        <w:trPr>
          <w:trHeight w:val="298"/>
        </w:trPr>
        <w:tc>
          <w:tcPr>
            <w:tcW w:w="209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Финансовый результат экономического субъекта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67 755,56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03.4</w:t>
            </w:r>
          </w:p>
        </w:tc>
      </w:tr>
    </w:tbl>
    <w:p w:rsidR="00395A0F" w:rsidRDefault="006805C1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*03.4 - ошибки, допущенные при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бухгалтерских записей на основании первичного учетного документа (за исключением ошибок в применении счетов бухгалтерского учета).</w:t>
      </w:r>
    </w:p>
    <w:p w:rsidR="006805C1" w:rsidRDefault="006805C1">
      <w:pPr>
        <w:ind w:firstLine="708"/>
        <w:jc w:val="both"/>
        <w:rPr>
          <w:rFonts w:ascii="Times NewRoman" w:eastAsia="Times NewRoman" w:hAnsi="Times NewRoman" w:cs="Times NewRoman"/>
          <w:color w:val="000000"/>
          <w:sz w:val="28"/>
          <w:szCs w:val="28"/>
        </w:rPr>
      </w:pP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Roman" w:eastAsia="Times NewRoman" w:hAnsi="Times NewRoman" w:cs="Times NewRoman"/>
          <w:color w:val="000000"/>
          <w:sz w:val="28"/>
          <w:szCs w:val="28"/>
        </w:rPr>
        <w:t>Сведения о доходах бюджета от перечисления части прибыли (дивидендов) государственных (муниципальных) унитарных пре</w:t>
      </w:r>
      <w:r>
        <w:rPr>
          <w:rFonts w:ascii="Times NewRoman" w:eastAsia="Times NewRoman" w:hAnsi="Times NewRoman" w:cs="Times NewRoman"/>
          <w:color w:val="000000"/>
          <w:sz w:val="28"/>
          <w:szCs w:val="28"/>
        </w:rPr>
        <w:t xml:space="preserve">дприятий, иных организаций с государственным участием в капитале (ф. 0503174) - значения по показателям отчетности отсутствуют, в электронном виде представлены с отметкой «Показатели отсутствуют». 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принятых и неисполненных обязательствах получат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еля бюджетных средств (ф. 0503175). 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остатках денежных средств на счетах получателя бюджетных средств (ф. 0503178).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вложениях в объекты недвижимого имущества, объектах незавершенного строительства (ф. 0503190) - значения по показател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ям отчетности отсутствуют, в электронном виде представлены с отметкой «Показатели отсутствуют». </w:t>
      </w:r>
    </w:p>
    <w:p w:rsidR="00395A0F" w:rsidRDefault="006805C1">
      <w:pPr>
        <w:spacing w:beforeAutospacing="1" w:afterAutospacing="1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показателях по сегменту «Бюджетные единицы»</w:t>
      </w:r>
    </w:p>
    <w:tbl>
      <w:tblPr>
        <w:tblW w:w="5000" w:type="pct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6"/>
        <w:gridCol w:w="2740"/>
      </w:tblGrid>
      <w:tr w:rsidR="00395A0F">
        <w:tc>
          <w:tcPr>
            <w:tcW w:w="36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показателя/состав показателя</w:t>
            </w:r>
          </w:p>
        </w:tc>
        <w:tc>
          <w:tcPr>
            <w:tcW w:w="138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показателя (руб.)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Признанные доходы за период 2022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год, всего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3 057 221 702,19</w:t>
            </w:r>
          </w:p>
        </w:tc>
      </w:tr>
      <w:tr w:rsidR="00395A0F">
        <w:trPr>
          <w:trHeight w:val="229"/>
        </w:trPr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rPr>
          <w:trHeight w:val="553"/>
        </w:trPr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Налоговые доходы, таможенные платежи и взносы на обязательное социальное страхование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554 250,00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Доходы от собственности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Доходы от оказания платных услуг (работ), компенсаций затрат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1 020 717,20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Штрафы, пени, неустойки, возмещения ущерба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153 000,00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Безвозмездные денежные поступления текущего характера (межбюджетные трансферты, поступления в бюджет от бюджетных и автономных бюджетных учреждений)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2 367 135 805,95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Доходы от операций с актив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561 545 221,99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Безвозмездные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неденежные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поступления (текущие поступления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 поступления капитального характера от организаций сектора государственного управления и иных организаций)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126 812 707,05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Признанные расходы за период 2022 год, всего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25 805 593 145,43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rPr>
          <w:trHeight w:val="411"/>
        </w:trPr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Оплата труда, начисления на выплаты по оплате труда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127 233 123,52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Оплата работ, услуг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15 000 456,76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Расходы по операциям с активами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3 124 849,73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Расходы по социальному обеспечению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18 802 847,50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уплату налогов, пошлин, сборов и иных обязательных платежей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2 434 000,00</w:t>
            </w:r>
          </w:p>
        </w:tc>
      </w:tr>
      <w:tr w:rsidR="00395A0F">
        <w:trPr>
          <w:trHeight w:val="363"/>
        </w:trPr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Предоставленные межбюджетные трансферты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19 723 122 215,81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Предоставленные субсидии, гранты, имущественные взносы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5 915 875 652,11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Расходы по обслуживанию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государственного (муниципального) долга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Активы (финансовые и нефинансовые) на конец периода, всего: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9 746 042 587,63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Нефинансовые активы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5 828 930,44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Недвижимое имущество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Непроизведенные активы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1.3.Имущество, составляющее государственную (муниципальную) казну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Финансовые активы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9 740 213 657,19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Денежные средства учреждения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Финансовые вложения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5 124 039 228,64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 Расчеты по доходам (дебиторская задолженность)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4 541 061 653,35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 Расчеты по выплатам (дебиторская задолженность)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75 112 775,20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 Расчеты по предоставленным кредитам, займам (ссудам)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Обязательства на конец периода, всего: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4 540 260 727,39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Расчеты по выплатам (кредиторская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задолженность)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18 043,67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Расчеты по доходам (кредиторская задолженность)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25 000,00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Расчеты по платежам в бюджеты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562 348,01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Доходы будущих периодов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4 536 195 828,78</w:t>
            </w:r>
          </w:p>
        </w:tc>
      </w:tr>
      <w:tr w:rsidR="00395A0F">
        <w:tc>
          <w:tcPr>
            <w:tcW w:w="36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Резервы предстоящих расходов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3 459 506,93</w:t>
            </w:r>
          </w:p>
        </w:tc>
      </w:tr>
    </w:tbl>
    <w:p w:rsidR="006805C1" w:rsidRDefault="006805C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95A0F" w:rsidRDefault="006805C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5 «Прочие вопросы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деятельности субъекта бюджетной отчетности»</w:t>
      </w:r>
    </w:p>
    <w:p w:rsidR="006805C1" w:rsidRDefault="006805C1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раздела представлены следующие формы отчетности: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проведении инвентаризаций (Таблица № 6). В отчетном периоде в соответствии с приказом Министерства от 01.12.2022 года № 1929 «О проведении инвентаризации» проведена годовая инвентаризация финансовых,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нефинансовых активов и обязательств. По резул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ьтатам инвентаризации расхождений не установлено, значения по показателям отчетности отсутствуют, в электронном виде сведения представлены с отметкой «Показатели отсутствуют». 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исполнении судебных решений по денежным обязательствам бюджета (ф.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0503296) значения по показателям отчетности отсутствуют, в электронном виде представлены с отметкой «Показатели отсутствуют».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Ввиду отсутствия числовых значений  не представлены формы годовой бюджетной отчетности Справка по консолидируемым расчетам (ф. 050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3125) по счетам 1 205 61 000, 1 205 61 561, 1 205 61 661, 1 206 51 000, 1 206  61 000, 1 206 61 561, 1 206 61 661, 1 207 11 000, 1 207 11 541, 1 207 11 641, 1 207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21 000, 1 207 21 541, 1 207 21 641, 1 207 31 000, 1 207 31 541,1 207 31 641, 1 301 11 000,1 3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01 11 710, 1 301 11 810,1 301 12 000, 1 301 12 710, 1 301 12 810, 1 301 13 000, 1 301 13 710, 1 301 13 810, 1 302 51 000, 1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304 04 000, 1 401 10 161,1 401 10 189, 1 401 20 241, 1 401 20 261,  1 401 20 281, 1 401 40 161, F 401 10 189,  F 401 10 191, F 401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0 195, М 401 10 189, М 401 10 191, М 401 10 195. </w:t>
      </w:r>
    </w:p>
    <w:p w:rsidR="00395A0F" w:rsidRDefault="006805C1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 В составе отчета за 2022 год так же представлен 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государственным внебюджетным фондом (ф. 0503324).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Пояснение расхождений по контрольным соотношениям форм отчетности: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0503175: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графе 9 раздела 1 в части «Иные причины» (99) отражаются суммы экономии по принятым бюджетным обязательствам. Обязат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ельства исполнены под фактическую потребность. 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Правило № ФК-1-9(4)_175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графе 2 раздела 2 отражены суммы принятых денежных обязательств за услуги связи за декабрь 2022 г. (кредиторская задолженность по состоянию на 01.01.2023).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0503110: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Правило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ФК-1_110</w:t>
      </w:r>
    </w:p>
    <w:p w:rsidR="00395A0F" w:rsidRDefault="006805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Данные в форме отражены с учетом требований письма Министерства финансов РФ от 27.09.2022 № 02-07-07/93188 «О порядке отражения в бухгалтерском учете безвозмездных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поступлений и передач».</w:t>
      </w:r>
    </w:p>
    <w:p w:rsidR="00395A0F" w:rsidRDefault="006805C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4097"/>
        <w:gridCol w:w="2604"/>
      </w:tblGrid>
      <w:tr w:rsidR="00395A0F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Кузнецова Диа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на Николаевна</w:t>
            </w:r>
          </w:p>
        </w:tc>
      </w:tr>
      <w:tr w:rsidR="00395A0F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95A0F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395A0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Митрофанова Ольга Викторовна</w:t>
            </w:r>
          </w:p>
        </w:tc>
      </w:tr>
      <w:tr w:rsidR="00395A0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95A0F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395A0F">
            <w:pPr>
              <w:rPr>
                <w:sz w:val="24"/>
              </w:rPr>
            </w:pPr>
          </w:p>
        </w:tc>
      </w:tr>
      <w:tr w:rsidR="00395A0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Шипугина Марина Анатольевна</w:t>
            </w:r>
          </w:p>
        </w:tc>
      </w:tr>
      <w:tr w:rsidR="00395A0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95A0F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6805C1" w:rsidP="006805C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 января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395A0F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A0F" w:rsidRDefault="00395A0F">
            <w:pPr>
              <w:rPr>
                <w:sz w:val="24"/>
              </w:rPr>
            </w:pPr>
          </w:p>
        </w:tc>
      </w:tr>
    </w:tbl>
    <w:p w:rsidR="00395A0F" w:rsidRDefault="006805C1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  <w:bookmarkStart w:id="0" w:name="_GoBack"/>
      <w:bookmarkEnd w:id="0"/>
    </w:p>
    <w:sectPr w:rsidR="00395A0F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A0F"/>
    <w:rsid w:val="00395A0F"/>
    <w:rsid w:val="0068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05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0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05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0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A5D30166713F563D7A8D7A360E7FBD4D9471DF81C598C07A759E12AA9758145070025F58E33006L8u1G" TargetMode="External"/><Relationship Id="rId13" Type="http://schemas.openxmlformats.org/officeDocument/2006/relationships/hyperlink" Target="consultantplus://offline/ref=B95AECAD5C774A2940F720856573884B59F052547F3069AA8AD9F15E3F424AD1A3BD09642AD4766DP0WF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5AECAD5C774A2940F720856573884B59F052547F3069AA8AD9F15E3F424AD1A3BD09642AD4776EP0WDP" TargetMode="External"/><Relationship Id="rId12" Type="http://schemas.openxmlformats.org/officeDocument/2006/relationships/hyperlink" Target="consultantplus://offline/ref=89A745645415EEF029A174A2591D0AF00B3FA60E82928E5F77E5554CC2FAAE5C4B1176F9F9EF3D0423T6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yperlink" Target="consultantplus://offline/ref=B95AECAD5C774A2940F720856573884B59F052547F3069AA8AD9F15E3F424AD1A3BD09642AD4776DP0WAP" TargetMode="External"/><Relationship Id="rId11" Type="http://schemas.openxmlformats.org/officeDocument/2006/relationships/hyperlink" Target="consultantplus://offline/ref=B95AECAD5C774A2940F720856573884B59F052547F3069AA8AD9F15E3F424AD1A3BD09642AD4766CP0W9P" TargetMode="External"/><Relationship Id="rId5" Type="http://schemas.openxmlformats.org/officeDocument/2006/relationships/hyperlink" Target="consultantplus://offline/ref=B95AECAD5C774A2940F720856573884B59F052547F3069AA8AD9F15E3F424AD1A3BD09642AD47769P0WEP" TargetMode="External"/><Relationship Id="rId15" Type="http://schemas.openxmlformats.org/officeDocument/2006/relationships/image" Target="media/image2.png"/><Relationship Id="rId10" Type="http://schemas.openxmlformats.org/officeDocument/2006/relationships/hyperlink" Target="consultantplus://offline/ref=B95AECAD5C774A2940F720856573884B59F052547F3069AA8AD9F15E3F424AD1A3BD09642AD4766BP0WF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5AECAD5C774A2940F720856573884B59F052547F3069AA8AD9F15E3F424AD1A3BD09642AD4776FP0W8P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4826</Words>
  <Characters>27512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svod-app01/www-data</dc:creator>
  <cp:lastModifiedBy>Шипугина М.А.</cp:lastModifiedBy>
  <cp:revision>2</cp:revision>
  <dcterms:created xsi:type="dcterms:W3CDTF">2024-07-24T08:58:00Z</dcterms:created>
  <dcterms:modified xsi:type="dcterms:W3CDTF">2024-07-24T08:58:00Z</dcterms:modified>
</cp:coreProperties>
</file>